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B" w:rsidRPr="0069129B" w:rsidRDefault="0069129B" w:rsidP="0069129B">
      <w:pPr>
        <w:widowControl/>
        <w:spacing w:before="60"/>
        <w:outlineLvl w:val="3"/>
        <w:rPr>
          <w:rFonts w:ascii="Arial" w:eastAsia="新細明體" w:hAnsi="Arial" w:cs="Arial"/>
          <w:b/>
          <w:bCs/>
          <w:color w:val="393939"/>
          <w:kern w:val="0"/>
          <w:szCs w:val="24"/>
        </w:rPr>
      </w:pPr>
      <w:r w:rsidRPr="0069129B">
        <w:rPr>
          <w:rFonts w:ascii="Arial" w:eastAsia="新細明體" w:hAnsi="Arial" w:cs="Arial"/>
          <w:b/>
          <w:bCs/>
          <w:color w:val="393939"/>
          <w:kern w:val="0"/>
          <w:szCs w:val="24"/>
        </w:rPr>
        <w:t>特點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根據混合動力汽車和電動汽車的測量條件開發的</w:t>
      </w:r>
      <w:proofErr w:type="spellStart"/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Millioum</w:t>
      </w:r>
      <w:proofErr w:type="spellEnd"/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汽車測試儀。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可以使用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4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端子類型進行精確測量。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便利型易於在維護現場使用。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包括覆蓋主體的皮套（橡膠材料）。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帶背光的大型液晶顯示器。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夾式測量探頭。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比較器功能。</w:t>
      </w:r>
    </w:p>
    <w:p w:rsidR="0069129B" w:rsidRPr="0069129B" w:rsidRDefault="0069129B" w:rsidP="0069129B">
      <w:pPr>
        <w:widowControl/>
        <w:numPr>
          <w:ilvl w:val="0"/>
          <w:numId w:val="1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顯示固定功能。</w:t>
      </w:r>
    </w:p>
    <w:p w:rsidR="0069129B" w:rsidRPr="0069129B" w:rsidRDefault="0069129B" w:rsidP="0069129B">
      <w:pPr>
        <w:widowControl/>
        <w:spacing w:before="120"/>
        <w:outlineLvl w:val="3"/>
        <w:rPr>
          <w:rFonts w:ascii="Arial" w:eastAsia="新細明體" w:hAnsi="Arial" w:cs="Arial"/>
          <w:b/>
          <w:bCs/>
          <w:color w:val="393939"/>
          <w:kern w:val="0"/>
          <w:szCs w:val="24"/>
        </w:rPr>
      </w:pPr>
      <w:r w:rsidRPr="0069129B">
        <w:rPr>
          <w:rFonts w:ascii="Arial" w:eastAsia="新細明體" w:hAnsi="Arial" w:cs="Arial"/>
          <w:b/>
          <w:bCs/>
          <w:color w:val="393939"/>
          <w:kern w:val="0"/>
          <w:szCs w:val="24"/>
        </w:rPr>
        <w:t>規範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顯示：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4199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計數，</w:t>
      </w:r>
      <w:proofErr w:type="gramStart"/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字符高度</w:t>
      </w:r>
      <w:proofErr w:type="gramEnd"/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12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毫米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</w:pPr>
      <w:proofErr w:type="gramStart"/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採</w:t>
      </w:r>
      <w:proofErr w:type="gramEnd"/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樣：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2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次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/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秒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電源：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8V 1.5V R6P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（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AA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）電池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尺寸</w:t>
      </w:r>
      <w:proofErr w:type="gramStart"/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·</w:t>
      </w:r>
      <w:proofErr w:type="gramEnd"/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重量：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140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（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H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）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×130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（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W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）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×70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（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D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）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mm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，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600g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</w:pPr>
      <w:r w:rsidRPr="0069129B">
        <w:rPr>
          <w:rFonts w:ascii="Arial" w:eastAsia="新細明體" w:hAnsi="Arial" w:cs="Arial"/>
          <w:b/>
          <w:bCs/>
          <w:color w:val="393939"/>
          <w:kern w:val="0"/>
          <w:sz w:val="17"/>
          <w:szCs w:val="17"/>
        </w:rPr>
        <w:t>附件：</w:t>
      </w:r>
    </w:p>
    <w:p w:rsidR="0069129B" w:rsidRPr="0069129B" w:rsidRDefault="0069129B" w:rsidP="0069129B">
      <w:pPr>
        <w:widowControl/>
        <w:numPr>
          <w:ilvl w:val="0"/>
          <w:numId w:val="2"/>
        </w:numPr>
        <w:spacing w:before="100" w:beforeAutospacing="1" w:after="100" w:afterAutospacing="1"/>
        <w:ind w:left="12"/>
        <w:rPr>
          <w:rFonts w:ascii="Arial" w:eastAsia="新細明體" w:hAnsi="Arial" w:cs="Arial"/>
          <w:color w:val="393939"/>
          <w:kern w:val="0"/>
          <w:sz w:val="17"/>
          <w:szCs w:val="17"/>
        </w:rPr>
      </w:pPr>
      <w:hyperlink r:id="rId5" w:history="1">
        <w:r w:rsidRPr="0069129B">
          <w:rPr>
            <w:rFonts w:ascii="Arial" w:eastAsia="新細明體" w:hAnsi="Arial" w:cs="Arial"/>
            <w:color w:val="0073BC"/>
            <w:kern w:val="0"/>
            <w:sz w:val="17"/>
          </w:rPr>
          <w:t>100-71</w:t>
        </w:r>
        <w:r w:rsidRPr="0069129B">
          <w:rPr>
            <w:rFonts w:ascii="Arial" w:eastAsia="新細明體" w:hAnsi="Arial" w:cs="Arial"/>
            <w:color w:val="0073BC"/>
            <w:kern w:val="0"/>
            <w:sz w:val="17"/>
          </w:rPr>
          <w:t>測試導線</w:t>
        </w:r>
      </w:hyperlink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，</w:t>
      </w:r>
      <w:hyperlink r:id="rId6" w:history="1">
        <w:r w:rsidRPr="0069129B">
          <w:rPr>
            <w:rFonts w:ascii="Arial" w:eastAsia="新細明體" w:hAnsi="Arial" w:cs="Arial"/>
            <w:color w:val="0073BC"/>
            <w:kern w:val="0"/>
            <w:sz w:val="17"/>
          </w:rPr>
          <w:t>1035</w:t>
        </w:r>
        <w:proofErr w:type="gramStart"/>
        <w:r w:rsidRPr="0069129B">
          <w:rPr>
            <w:rFonts w:ascii="Arial" w:eastAsia="新細明體" w:hAnsi="Arial" w:cs="Arial"/>
            <w:color w:val="0073BC"/>
            <w:kern w:val="0"/>
            <w:sz w:val="17"/>
          </w:rPr>
          <w:t>便攜包</w:t>
        </w:r>
        <w:proofErr w:type="gramEnd"/>
      </w:hyperlink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，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8 1.5V R6P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（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AA</w:t>
      </w:r>
      <w:r w:rsidRPr="0069129B">
        <w:rPr>
          <w:rFonts w:ascii="Arial" w:eastAsia="新細明體" w:hAnsi="Arial" w:cs="Arial"/>
          <w:color w:val="393939"/>
          <w:kern w:val="0"/>
          <w:sz w:val="17"/>
          <w:szCs w:val="17"/>
        </w:rPr>
        <w:t>）電池，使用說明書</w:t>
      </w:r>
    </w:p>
    <w:p w:rsidR="00F67ABE" w:rsidRPr="0069129B" w:rsidRDefault="00F67ABE"/>
    <w:sectPr w:rsidR="00F67ABE" w:rsidRPr="0069129B" w:rsidSect="00F67A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43F"/>
    <w:multiLevelType w:val="multilevel"/>
    <w:tmpl w:val="083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C43C7"/>
    <w:multiLevelType w:val="multilevel"/>
    <w:tmpl w:val="E06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29B"/>
    <w:rsid w:val="0069129B"/>
    <w:rsid w:val="00F6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BE"/>
    <w:pPr>
      <w:widowControl w:val="0"/>
    </w:pPr>
  </w:style>
  <w:style w:type="paragraph" w:styleId="4">
    <w:name w:val="heading 4"/>
    <w:basedOn w:val="a"/>
    <w:link w:val="40"/>
    <w:uiPriority w:val="9"/>
    <w:qFormat/>
    <w:rsid w:val="0069129B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69129B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91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697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CCCCCC"/>
            <w:right w:val="none" w:sz="0" w:space="0" w:color="auto"/>
          </w:divBdr>
        </w:div>
        <w:div w:id="1435593234">
          <w:marLeft w:val="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ise.com/j_accessory_1035.html" TargetMode="External"/><Relationship Id="rId5" Type="http://schemas.openxmlformats.org/officeDocument/2006/relationships/hyperlink" Target="https://www.kaise.com/j_accessory_100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C.M.T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2019-01-22T03:25:00Z</dcterms:created>
  <dcterms:modified xsi:type="dcterms:W3CDTF">2019-01-22T03:26:00Z</dcterms:modified>
</cp:coreProperties>
</file>